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BodyText2"/>
        <w:ind w:left="0" w:right="0" w:firstLine="510"/>
        <w:jc w:val="center"/>
        <w:rPr>
          <w:b/>
          <w:bCs/>
        </w:rPr>
      </w:pPr>
      <w:r>
        <w:rPr>
          <w:b/>
          <w:bCs/>
        </w:rPr>
        <w:t>СЕМИНАРЛЫҚ САБАҚТАРЫНЫҢ МАЗМ¦НЫ</w:t>
      </w:r>
    </w:p>
    <w:p>
      <w:pPr>
        <w:pStyle w:val="2"/>
        <w:jc w:val="both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</w:r>
    </w:p>
    <w:p>
      <w:pPr>
        <w:pStyle w:val="2"/>
        <w:jc w:val="both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>Семинар 1.</w:t>
      </w:r>
      <w:bookmarkStart w:id="0" w:name="__DdeLink__61_802741618"/>
      <w:r>
        <w:rPr>
          <w:rFonts w:cs="Times New Roman" w:ascii="Times New Roman" w:hAnsi="Times New Roman"/>
          <w:lang w:val="kk-KZ"/>
        </w:rPr>
        <w:t xml:space="preserve">  </w:t>
      </w:r>
      <w:r>
        <w:rPr>
          <w:rFonts w:cs="Times New Roman" w:ascii="Times New Roman" w:hAnsi="Times New Roman"/>
          <w:lang w:val="kk-KZ"/>
        </w:rPr>
        <w:t>Е</w:t>
      </w:r>
      <w:bookmarkStart w:id="1" w:name="__DdeLink__20565_1443441577"/>
      <w:r>
        <w:rPr>
          <w:rFonts w:cs="Times New Roman" w:ascii="Times New Roman" w:hAnsi="Times New Roman"/>
          <w:lang w:val="kk-KZ"/>
        </w:rPr>
        <w:t xml:space="preserve">с  </w:t>
      </w:r>
      <w:r>
        <w:rPr>
          <w:rFonts w:cs="Times New Roman" w:ascii="Times New Roman" w:hAnsi="Times New Roman"/>
          <w:lang w:val="kk-KZ"/>
        </w:rPr>
        <w:t>және зейін</w:t>
      </w:r>
      <w:bookmarkEnd w:id="0"/>
      <w:r>
        <w:rPr>
          <w:rFonts w:cs="Times New Roman" w:ascii="Times New Roman" w:hAnsi="Times New Roman"/>
          <w:lang w:val="kk-KZ"/>
        </w:rPr>
        <w:t xml:space="preserve"> </w:t>
      </w:r>
      <w:r>
        <w:rPr>
          <w:rFonts w:cs="Times New Roman" w:ascii="Times New Roman" w:hAnsi="Times New Roman"/>
          <w:lang w:val="kk-KZ"/>
        </w:rPr>
        <w:t>психология</w:t>
      </w:r>
      <w:bookmarkEnd w:id="1"/>
      <w:r>
        <w:rPr>
          <w:rFonts w:cs="Times New Roman" w:ascii="Times New Roman" w:hAnsi="Times New Roman"/>
          <w:lang w:val="kk-KZ"/>
        </w:rPr>
        <w:t>сы  ғылым ретінде  қалыптасу тарихы. (2 сағ)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jc w:val="both"/>
        <w:rPr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 </w:t>
      </w:r>
      <w:r>
        <w:rPr>
          <w:rFonts w:cs="Times New Roman"/>
          <w:sz w:val="28"/>
          <w:szCs w:val="28"/>
          <w:lang w:val="kk-KZ"/>
        </w:rPr>
        <w:t>Е</w:t>
      </w:r>
      <w:r>
        <w:rPr>
          <w:rFonts w:cs="Times New Roman"/>
          <w:sz w:val="28"/>
          <w:szCs w:val="28"/>
          <w:lang w:val="kk-KZ"/>
        </w:rPr>
        <w:t xml:space="preserve">с  </w:t>
      </w:r>
      <w:r>
        <w:rPr>
          <w:rFonts w:cs="Times New Roman"/>
          <w:sz w:val="28"/>
          <w:szCs w:val="28"/>
          <w:lang w:val="kk-KZ"/>
        </w:rPr>
        <w:t>және зейін</w:t>
      </w:r>
      <w:r>
        <w:rPr>
          <w:sz w:val="28"/>
          <w:szCs w:val="28"/>
          <w:lang w:val="kk-KZ"/>
        </w:rPr>
        <w:t xml:space="preserve"> психологияның пәні мен міндеттері.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jc w:val="both"/>
        <w:rPr>
          <w:sz w:val="28"/>
          <w:szCs w:val="28"/>
          <w:lang w:val="ru-MO"/>
        </w:rPr>
      </w:pPr>
      <w:r>
        <w:rPr>
          <w:rFonts w:cs="Times New Roman"/>
          <w:sz w:val="28"/>
          <w:szCs w:val="28"/>
          <w:lang w:val="kk-KZ"/>
        </w:rPr>
        <w:t xml:space="preserve">  </w:t>
      </w:r>
      <w:r>
        <w:rPr>
          <w:rFonts w:cs="Times New Roman"/>
          <w:sz w:val="28"/>
          <w:szCs w:val="28"/>
          <w:lang w:val="kk-KZ"/>
        </w:rPr>
        <w:t>Е</w:t>
      </w:r>
      <w:r>
        <w:rPr>
          <w:rFonts w:cs="Times New Roman"/>
          <w:sz w:val="28"/>
          <w:szCs w:val="28"/>
          <w:lang w:val="kk-KZ"/>
        </w:rPr>
        <w:t xml:space="preserve">с  </w:t>
      </w:r>
      <w:r>
        <w:rPr>
          <w:rFonts w:cs="Times New Roman"/>
          <w:sz w:val="28"/>
          <w:szCs w:val="28"/>
          <w:lang w:val="kk-KZ"/>
        </w:rPr>
        <w:t>және зейін</w:t>
      </w:r>
      <w:r>
        <w:rPr>
          <w:sz w:val="28"/>
          <w:szCs w:val="28"/>
          <w:lang w:val="ru-MO"/>
        </w:rPr>
        <w:t xml:space="preserve"> психологияның негізгі бағыттары.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ind w:left="426" w:right="0" w:hanging="36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Онтогенезде адамның психикалық  дамуының жас ерекшеліктері.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jc w:val="both"/>
        <w:rPr>
          <w:sz w:val="28"/>
          <w:szCs w:val="28"/>
          <w:lang w:val="ru-MO"/>
        </w:rPr>
      </w:pPr>
      <w:r>
        <w:rPr>
          <w:rFonts w:cs="Times New Roman"/>
          <w:sz w:val="28"/>
          <w:szCs w:val="28"/>
          <w:lang w:val="kk-KZ"/>
        </w:rPr>
        <w:t xml:space="preserve">  </w:t>
      </w:r>
      <w:r>
        <w:rPr>
          <w:rFonts w:cs="Times New Roman"/>
          <w:sz w:val="28"/>
          <w:szCs w:val="28"/>
          <w:lang w:val="kk-KZ"/>
        </w:rPr>
        <w:t>Е</w:t>
      </w:r>
      <w:r>
        <w:rPr>
          <w:rFonts w:cs="Times New Roman"/>
          <w:sz w:val="28"/>
          <w:szCs w:val="28"/>
          <w:lang w:val="kk-KZ"/>
        </w:rPr>
        <w:t xml:space="preserve">с  </w:t>
      </w:r>
      <w:r>
        <w:rPr>
          <w:rFonts w:cs="Times New Roman"/>
          <w:sz w:val="28"/>
          <w:szCs w:val="28"/>
          <w:lang w:val="kk-KZ"/>
        </w:rPr>
        <w:t>және зейін</w:t>
      </w:r>
      <w:r>
        <w:rPr>
          <w:sz w:val="28"/>
          <w:szCs w:val="28"/>
          <w:lang w:val="ru-MO"/>
        </w:rPr>
        <w:t xml:space="preserve"> психология</w:t>
      </w:r>
      <w:r>
        <w:rPr>
          <w:sz w:val="28"/>
          <w:szCs w:val="28"/>
          <w:lang w:val="kk-KZ"/>
        </w:rPr>
        <w:t>сының</w:t>
      </w:r>
      <w:r>
        <w:rPr>
          <w:sz w:val="28"/>
          <w:szCs w:val="28"/>
          <w:lang w:val="ru-MO"/>
        </w:rPr>
        <w:t xml:space="preserve"> заңдылықтары.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ind w:left="426" w:right="0" w:hanging="36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Оқушылардың танымдық іс-әрекеті мен ақыл–ойының дамуы,  олардың танымның, қарым-қатынастың және еңбектің саналы субъектілері ретінде қалыптасуы.  </w:t>
      </w:r>
    </w:p>
    <w:p>
      <w:pPr>
        <w:pStyle w:val="BodyText2"/>
        <w:ind w:left="0" w:right="0" w:firstLine="510"/>
        <w:jc w:val="left"/>
        <w:rPr/>
      </w:pPr>
      <w:r>
        <w:rPr/>
      </w:r>
    </w:p>
    <w:p>
      <w:pPr>
        <w:pStyle w:val="2"/>
        <w:jc w:val="both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 xml:space="preserve">Семинар 2. Қазіргі білім берудегі    </w:t>
      </w:r>
      <w:r>
        <w:rPr>
          <w:rFonts w:cs="Times New Roman" w:ascii="Times New Roman" w:hAnsi="Times New Roman"/>
          <w:lang w:val="kk-KZ"/>
        </w:rPr>
        <w:t>е</w:t>
      </w:r>
      <w:r>
        <w:rPr>
          <w:rFonts w:cs="Times New Roman" w:ascii="Times New Roman" w:hAnsi="Times New Roman"/>
          <w:lang w:val="kk-KZ"/>
        </w:rPr>
        <w:t xml:space="preserve">с  </w:t>
      </w:r>
      <w:r>
        <w:rPr>
          <w:rFonts w:cs="Times New Roman" w:ascii="Times New Roman" w:hAnsi="Times New Roman"/>
          <w:lang w:val="kk-KZ"/>
        </w:rPr>
        <w:t xml:space="preserve">және зейін </w:t>
      </w:r>
      <w:r>
        <w:rPr>
          <w:rFonts w:cs="Times New Roman" w:ascii="Times New Roman" w:hAnsi="Times New Roman"/>
          <w:lang w:val="kk-KZ"/>
        </w:rPr>
        <w:t>негізгі бағыты (2 сағ)</w:t>
      </w:r>
    </w:p>
    <w:p>
      <w:pPr>
        <w:pStyle w:val="BodyText2"/>
        <w:numPr>
          <w:ilvl w:val="0"/>
          <w:numId w:val="2"/>
        </w:numPr>
        <w:tabs>
          <w:tab w:val="left" w:pos="426" w:leader="none"/>
        </w:tabs>
        <w:ind w:left="426" w:right="0" w:hanging="360"/>
        <w:rPr/>
      </w:pPr>
      <w:r>
        <w:rPr/>
        <w:t xml:space="preserve">Оқыту мен тәрбиелеу  процесінде   студенттердің ақыл-ой іс-әрекетін басқарудың әдістері мен формалары, танымдық процестердің ерік белсенділігі мен оқу және қоғамдық пайдалы іс-әрекеттегі дербестіктің қалыптасу заңдылықтары. 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ind w:left="426" w:right="0" w:hanging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Мұғалімнің еңбек психологиясы, оқушы мен педагогтың, оқушылардың мектеп ұжымымен үзара қарым-қатынасы. 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ind w:left="426" w:right="0" w:hanging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Оқыту және адамның ес психологияның бағыттары: оқыту психологиясы, педагогикалық іс-әрекеттің субъектісі ретіндегі мұғалім психологиясы мен тәрбие психологиясы.</w:t>
      </w:r>
    </w:p>
    <w:p>
      <w:pPr>
        <w:pStyle w:val="BodyText2"/>
        <w:ind w:left="0" w:right="0" w:firstLine="510"/>
        <w:jc w:val="left"/>
        <w:rPr/>
      </w:pPr>
      <w:r>
        <w:rPr/>
      </w:r>
    </w:p>
    <w:p>
      <w:pPr>
        <w:pStyle w:val="2"/>
        <w:jc w:val="both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>Семинар 3 Методология, әдістер мен әдістемелер олардың педагогикалық зерттеудегі үзара байланысы (2 сағ)</w:t>
      </w:r>
    </w:p>
    <w:p>
      <w:pPr>
        <w:pStyle w:val="BodyTextIndent2"/>
        <w:numPr>
          <w:ilvl w:val="0"/>
          <w:numId w:val="3"/>
        </w:numPr>
        <w:tabs>
          <w:tab w:val="left" w:pos="426" w:leader="none"/>
        </w:tabs>
        <w:ind w:left="426" w:right="0" w:hanging="360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 xml:space="preserve">Баланың, әр түрлі жас кезеңдердегі оқушылардың психикасын зерттеу әдістемелері мен әдіснамасы. </w:t>
      </w:r>
    </w:p>
    <w:p>
      <w:pPr>
        <w:pStyle w:val="BodyTextIndent2"/>
        <w:numPr>
          <w:ilvl w:val="0"/>
          <w:numId w:val="3"/>
        </w:numPr>
        <w:tabs>
          <w:tab w:val="left" w:pos="426" w:leader="none"/>
        </w:tabs>
        <w:ind w:left="426" w:right="0" w:hanging="360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 xml:space="preserve">Оқу-тәрбие міндеттерін психологиялық педагогикалық зерттеудің әдіснамалық принциптері. </w:t>
      </w:r>
    </w:p>
    <w:p>
      <w:pPr>
        <w:pStyle w:val="BodyTextIndent2"/>
        <w:numPr>
          <w:ilvl w:val="0"/>
          <w:numId w:val="3"/>
        </w:numPr>
        <w:tabs>
          <w:tab w:val="left" w:pos="426" w:leader="none"/>
        </w:tabs>
        <w:ind w:left="426" w:right="0" w:hanging="360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 xml:space="preserve">Даму принципі.  әдіснама,  әдістер мен зерттеу әдістемелерінің бірлігі принципі. </w:t>
      </w:r>
    </w:p>
    <w:p>
      <w:pPr>
        <w:pStyle w:val="BodyTextIndent2"/>
        <w:numPr>
          <w:ilvl w:val="0"/>
          <w:numId w:val="3"/>
        </w:numPr>
        <w:tabs>
          <w:tab w:val="left" w:pos="426" w:leader="none"/>
        </w:tabs>
        <w:ind w:left="426" w:right="0" w:hanging="360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 xml:space="preserve">Педагогикалық  психологиядағы  зерттеуді ұйымдастырудың әдістері.  </w:t>
      </w:r>
    </w:p>
    <w:p>
      <w:pPr>
        <w:pStyle w:val="BodyTextIndent2"/>
        <w:numPr>
          <w:ilvl w:val="0"/>
          <w:numId w:val="3"/>
        </w:numPr>
        <w:tabs>
          <w:tab w:val="left" w:pos="426" w:leader="none"/>
        </w:tabs>
        <w:ind w:left="426" w:right="0" w:hanging="360"/>
        <w:rPr>
          <w:rFonts w:cs="Times New Roman" w:ascii="Times New Roman" w:hAnsi="Times New Roman"/>
          <w:lang w:val="kk-KZ"/>
        </w:rPr>
      </w:pPr>
      <w:r>
        <w:rPr>
          <w:rFonts w:cs="Times New Roman" w:ascii="Times New Roman" w:hAnsi="Times New Roman"/>
          <w:lang w:val="kk-KZ"/>
        </w:rPr>
        <w:t>Дәйекті материалдарды жинаудың әдістері мен әдістемелері.</w:t>
      </w:r>
    </w:p>
    <w:p>
      <w:pPr>
        <w:pStyle w:val="BodyText2"/>
        <w:rPr/>
      </w:pPr>
      <w:r>
        <w:rPr/>
      </w:r>
    </w:p>
    <w:p>
      <w:pPr>
        <w:pStyle w:val="BodyText2"/>
        <w:ind w:left="0" w:right="0" w:firstLine="567"/>
        <w:rPr>
          <w:b/>
          <w:bCs/>
        </w:rPr>
      </w:pPr>
      <w:r>
        <w:rPr>
          <w:b/>
          <w:bCs/>
        </w:rPr>
        <w:t>Семинар 4. Қазіргі кездегі білім беру негізгі тенденциялары (2 сағ)</w:t>
      </w:r>
    </w:p>
    <w:p>
      <w:pPr>
        <w:pStyle w:val="BodyText2"/>
        <w:numPr>
          <w:ilvl w:val="0"/>
          <w:numId w:val="4"/>
        </w:numPr>
        <w:tabs>
          <w:tab w:val="left" w:pos="426" w:leader="none"/>
        </w:tabs>
        <w:ind w:left="426" w:right="0" w:hanging="360"/>
        <w:rPr/>
      </w:pPr>
      <w:r>
        <w:rPr/>
        <w:t xml:space="preserve">"Білім беру" түсінігінің жалпы методологиялық мәні. </w:t>
      </w:r>
    </w:p>
    <w:p>
      <w:pPr>
        <w:pStyle w:val="BodyText2"/>
        <w:numPr>
          <w:ilvl w:val="0"/>
          <w:numId w:val="4"/>
        </w:numPr>
        <w:tabs>
          <w:tab w:val="left" w:pos="426" w:leader="none"/>
        </w:tabs>
        <w:ind w:left="426" w:right="0" w:hanging="360"/>
        <w:rPr/>
      </w:pPr>
      <w:r>
        <w:rPr/>
        <w:t xml:space="preserve">Білім беру, білім беру жүйесі ретінде, процесс және нәтиже ретінде. </w:t>
      </w:r>
    </w:p>
    <w:p>
      <w:pPr>
        <w:pStyle w:val="BodyText2"/>
        <w:numPr>
          <w:ilvl w:val="0"/>
          <w:numId w:val="4"/>
        </w:numPr>
        <w:tabs>
          <w:tab w:val="left" w:pos="426" w:leader="none"/>
        </w:tabs>
        <w:ind w:left="426" w:right="0" w:hanging="360"/>
        <w:rPr/>
      </w:pPr>
      <w:r>
        <w:rPr/>
        <w:t xml:space="preserve">Қазіргі  білім   оқыту мен тәрбиелеудің негізгі бағыттары. </w:t>
      </w:r>
    </w:p>
    <w:p>
      <w:pPr>
        <w:pStyle w:val="BodyText2"/>
        <w:numPr>
          <w:ilvl w:val="0"/>
          <w:numId w:val="4"/>
        </w:numPr>
        <w:tabs>
          <w:tab w:val="left" w:pos="426" w:leader="none"/>
        </w:tabs>
        <w:ind w:left="426" w:right="0" w:hanging="360"/>
        <w:rPr/>
      </w:pPr>
      <w:r>
        <w:rPr/>
        <w:t>Тұлғалық  іс-әрекеттік ықпал білім беру  процесін ұйымдастырудың негізі ретінде.</w:t>
      </w:r>
    </w:p>
    <w:p>
      <w:pPr>
        <w:pStyle w:val="BodyText2"/>
        <w:ind w:left="0" w:right="0" w:firstLine="510"/>
        <w:rPr>
          <w:b/>
          <w:bCs/>
        </w:rPr>
      </w:pPr>
      <w:r>
        <w:rPr>
          <w:b/>
          <w:bCs/>
        </w:rPr>
        <w:t>Семинар 5. Субъекттік  сипаттың психологиялық-педагогикалық күрінісі (2 сағ)</w:t>
      </w:r>
    </w:p>
    <w:p>
      <w:pPr>
        <w:pStyle w:val="BodyText2"/>
        <w:numPr>
          <w:ilvl w:val="0"/>
          <w:numId w:val="5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 xml:space="preserve">Білім беру процесінің субъектісі. </w:t>
      </w:r>
    </w:p>
    <w:p>
      <w:pPr>
        <w:pStyle w:val="BodyText2"/>
        <w:numPr>
          <w:ilvl w:val="0"/>
          <w:numId w:val="5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 xml:space="preserve">Субъект категориясының жалпы сипаттамасы. </w:t>
      </w:r>
    </w:p>
    <w:p>
      <w:pPr>
        <w:pStyle w:val="BodyText2"/>
        <w:numPr>
          <w:ilvl w:val="0"/>
          <w:numId w:val="5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>Субъект</w:t>
      </w:r>
      <w:r>
        <w:rPr/>
        <w:t xml:space="preserve"> </w:t>
      </w:r>
      <w:r>
        <w:rPr>
          <w:lang w:val="ru-MO"/>
        </w:rPr>
        <w:t xml:space="preserve">және тұлға. </w:t>
      </w:r>
    </w:p>
    <w:p>
      <w:pPr>
        <w:pStyle w:val="BodyText2"/>
        <w:numPr>
          <w:ilvl w:val="0"/>
          <w:numId w:val="5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 xml:space="preserve">Білім беру процесі субъектісінің  спецификалық ерекшеліктері. </w:t>
      </w:r>
    </w:p>
    <w:p>
      <w:pPr>
        <w:pStyle w:val="BodyText2"/>
        <w:numPr>
          <w:ilvl w:val="0"/>
          <w:numId w:val="5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 xml:space="preserve">Педагогтың  субъект қасиеттерінің құрылымы. </w:t>
      </w:r>
    </w:p>
    <w:p>
      <w:pPr>
        <w:pStyle w:val="BodyText2"/>
        <w:numPr>
          <w:ilvl w:val="0"/>
          <w:numId w:val="5"/>
        </w:numPr>
        <w:tabs>
          <w:tab w:val="left" w:pos="426" w:leader="none"/>
        </w:tabs>
        <w:ind w:left="426" w:right="0" w:hanging="360"/>
        <w:rPr/>
      </w:pPr>
      <w:r>
        <w:rPr>
          <w:lang w:val="ru-MO"/>
        </w:rPr>
        <w:t>Оқушы оқу іс-әрекетінің субъектісі ретінде.</w:t>
      </w:r>
      <w:r>
        <w:rPr>
          <w:b/>
          <w:bCs/>
        </w:rPr>
        <w:t xml:space="preserve"> </w:t>
      </w:r>
      <w:r>
        <w:rPr/>
        <w:t>Педагог және оқушылар – білім беру процесінің субъектісі.</w:t>
      </w:r>
    </w:p>
    <w:p>
      <w:pPr>
        <w:pStyle w:val="BodyText2"/>
        <w:ind w:left="0" w:right="0" w:firstLine="510"/>
        <w:rPr/>
      </w:pPr>
      <w:r>
        <w:rPr/>
      </w:r>
    </w:p>
    <w:p>
      <w:pPr>
        <w:pStyle w:val="BodyText2"/>
        <w:ind w:left="0" w:right="0" w:firstLine="510"/>
        <w:jc w:val="left"/>
        <w:rPr>
          <w:b/>
          <w:bCs/>
        </w:rPr>
      </w:pPr>
      <w:r>
        <w:rPr>
          <w:b/>
          <w:bCs/>
        </w:rPr>
        <w:t>Семинар 6. Оқу іс-әрекетінің құрылымы мен қалыптасуы (2 сағ)</w:t>
      </w:r>
    </w:p>
    <w:p>
      <w:pPr>
        <w:pStyle w:val="BodyText2"/>
        <w:numPr>
          <w:ilvl w:val="0"/>
          <w:numId w:val="6"/>
        </w:numPr>
        <w:tabs>
          <w:tab w:val="left" w:pos="426" w:leader="none"/>
        </w:tabs>
        <w:ind w:left="426" w:right="0" w:hanging="360"/>
        <w:rPr/>
      </w:pPr>
      <w:r>
        <w:rPr/>
        <w:t xml:space="preserve">Оқыту психологиясы. </w:t>
      </w:r>
    </w:p>
    <w:p>
      <w:pPr>
        <w:pStyle w:val="BodyText2"/>
        <w:numPr>
          <w:ilvl w:val="0"/>
          <w:numId w:val="6"/>
        </w:numPr>
        <w:tabs>
          <w:tab w:val="left" w:pos="426" w:leader="none"/>
        </w:tabs>
        <w:ind w:left="426" w:right="0" w:hanging="360"/>
        <w:rPr/>
      </w:pPr>
      <w:r>
        <w:rPr/>
        <w:t xml:space="preserve">Оқу іс-әрекетінің жалпы сипаттамасы. </w:t>
      </w:r>
    </w:p>
    <w:p>
      <w:pPr>
        <w:pStyle w:val="BodyText2"/>
        <w:numPr>
          <w:ilvl w:val="0"/>
          <w:numId w:val="6"/>
        </w:numPr>
        <w:tabs>
          <w:tab w:val="left" w:pos="426" w:leader="none"/>
        </w:tabs>
        <w:ind w:left="426" w:right="0" w:hanging="360"/>
        <w:rPr/>
      </w:pPr>
      <w:r>
        <w:rPr/>
        <w:t xml:space="preserve">Оқу іс-әрекетінің сыртқы құрылымы. </w:t>
      </w:r>
    </w:p>
    <w:p>
      <w:pPr>
        <w:pStyle w:val="BodyText2"/>
        <w:numPr>
          <w:ilvl w:val="0"/>
          <w:numId w:val="6"/>
        </w:numPr>
        <w:tabs>
          <w:tab w:val="left" w:pos="426" w:leader="none"/>
        </w:tabs>
        <w:ind w:left="426" w:right="0" w:hanging="360"/>
        <w:rPr/>
      </w:pPr>
      <w:r>
        <w:rPr/>
        <w:t>Оқу іс-әрекетінің сыртқы  құрылымының компотентті құрамы</w:t>
      </w:r>
    </w:p>
    <w:p>
      <w:pPr>
        <w:pStyle w:val="BodyText2"/>
        <w:ind w:left="0" w:right="0" w:firstLine="510"/>
        <w:rPr/>
      </w:pPr>
      <w:r>
        <w:rPr/>
      </w:r>
    </w:p>
    <w:p>
      <w:pPr>
        <w:pStyle w:val="BodyText2"/>
        <w:ind w:left="0" w:right="0" w:firstLine="510"/>
        <w:rPr>
          <w:b/>
          <w:bCs/>
        </w:rPr>
      </w:pPr>
      <w:r>
        <w:rPr>
          <w:b/>
          <w:bCs/>
        </w:rPr>
        <w:t>Семинар 7. Оқушы жетістігін бағалаудың объективті әдістері мәселесі (2 сағ)</w:t>
      </w:r>
    </w:p>
    <w:p>
      <w:pPr>
        <w:pStyle w:val="BodyText2"/>
        <w:numPr>
          <w:ilvl w:val="0"/>
          <w:numId w:val="7"/>
        </w:numPr>
        <w:tabs>
          <w:tab w:val="left" w:pos="426" w:leader="none"/>
        </w:tabs>
        <w:ind w:left="426" w:right="0" w:hanging="360"/>
        <w:rPr/>
      </w:pPr>
      <w:r>
        <w:rPr/>
        <w:t xml:space="preserve">Оқушылардың  білімін, дағдылары мен ептіліктерін анықтау әдістері. </w:t>
      </w:r>
    </w:p>
    <w:p>
      <w:pPr>
        <w:pStyle w:val="BodyText2"/>
        <w:numPr>
          <w:ilvl w:val="0"/>
          <w:numId w:val="7"/>
        </w:numPr>
        <w:tabs>
          <w:tab w:val="left" w:pos="426" w:leader="none"/>
        </w:tabs>
        <w:ind w:left="426" w:right="0" w:hanging="360"/>
        <w:rPr/>
      </w:pPr>
      <w:r>
        <w:rPr/>
        <w:t xml:space="preserve">Оқушының білімінің, ептілігінің, дағдыларының қалыптасу деңгейін бағалауда субъективизмді меңгерудің стратегиясы мен тактикасы. </w:t>
      </w:r>
    </w:p>
    <w:p>
      <w:pPr>
        <w:pStyle w:val="BodyText2"/>
        <w:numPr>
          <w:ilvl w:val="0"/>
          <w:numId w:val="7"/>
        </w:numPr>
        <w:tabs>
          <w:tab w:val="left" w:pos="426" w:leader="none"/>
        </w:tabs>
        <w:ind w:left="426" w:right="0" w:hanging="360"/>
        <w:rPr/>
      </w:pPr>
      <w:r>
        <w:rPr/>
        <w:t>Жүйелілік (кешендік) оқушының жетістік деңгейін бағалаудың объективті парадигмасының фундаменталды сипаттамасы ретінде.</w:t>
      </w:r>
    </w:p>
    <w:p>
      <w:pPr>
        <w:pStyle w:val="BodyText2"/>
        <w:ind w:left="0" w:right="0" w:firstLine="510"/>
        <w:rPr/>
      </w:pPr>
      <w:r>
        <w:rPr/>
        <w:t xml:space="preserve"> </w:t>
      </w:r>
    </w:p>
    <w:p>
      <w:pPr>
        <w:pStyle w:val="BodyText2"/>
        <w:ind w:left="0" w:right="0" w:firstLine="510"/>
        <w:rPr>
          <w:b/>
          <w:bCs/>
        </w:rPr>
      </w:pPr>
      <w:r>
        <w:rPr>
          <w:b/>
          <w:bCs/>
          <w:lang w:val="ru-RU"/>
        </w:rPr>
        <w:t>Семинар 8</w:t>
      </w:r>
      <w:r>
        <w:rPr>
          <w:b/>
          <w:bCs/>
        </w:rPr>
        <w:t xml:space="preserve">. </w:t>
      </w:r>
      <w:r>
        <w:rPr>
          <w:b/>
          <w:bCs/>
          <w:lang w:val="ru-MO"/>
        </w:rPr>
        <w:t xml:space="preserve">Оқыту стртегиясы интериоризация және экстериоризация ретінде </w:t>
      </w:r>
      <w:r>
        <w:rPr>
          <w:b/>
          <w:bCs/>
        </w:rPr>
        <w:t>(2 сағ)</w:t>
      </w:r>
    </w:p>
    <w:p>
      <w:pPr>
        <w:pStyle w:val="BodyText2"/>
        <w:numPr>
          <w:ilvl w:val="0"/>
          <w:numId w:val="8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 xml:space="preserve">Оқыту процесін психологиялық талдау. </w:t>
      </w:r>
    </w:p>
    <w:p>
      <w:pPr>
        <w:pStyle w:val="BodyText2"/>
        <w:numPr>
          <w:ilvl w:val="0"/>
          <w:numId w:val="8"/>
        </w:numPr>
        <w:tabs>
          <w:tab w:val="left" w:pos="426" w:leader="none"/>
        </w:tabs>
        <w:ind w:left="426" w:right="0" w:hanging="360"/>
        <w:rPr>
          <w:b/>
          <w:bCs/>
          <w:lang w:val="ru-MO"/>
        </w:rPr>
      </w:pPr>
      <w:r>
        <w:rPr>
          <w:lang w:val="ru-MO"/>
        </w:rPr>
        <w:t>Оқыту мәселесі.</w:t>
      </w:r>
      <w:r>
        <w:rPr>
          <w:b/>
          <w:bCs/>
          <w:lang w:val="ru-MO"/>
        </w:rPr>
        <w:t xml:space="preserve"> </w:t>
      </w:r>
    </w:p>
    <w:p>
      <w:pPr>
        <w:pStyle w:val="BodyText2"/>
        <w:numPr>
          <w:ilvl w:val="0"/>
          <w:numId w:val="8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 xml:space="preserve">Оқыту стратегиясы. </w:t>
      </w:r>
    </w:p>
    <w:p>
      <w:pPr>
        <w:pStyle w:val="BodyText2"/>
        <w:numPr>
          <w:ilvl w:val="0"/>
          <w:numId w:val="8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 xml:space="preserve">С.Л.Выготский мектебіндегі оқыту құрылымы  мен баяндалуы. </w:t>
      </w:r>
    </w:p>
    <w:p>
      <w:pPr>
        <w:pStyle w:val="BodyText2"/>
        <w:numPr>
          <w:ilvl w:val="0"/>
          <w:numId w:val="8"/>
        </w:numPr>
        <w:tabs>
          <w:tab w:val="left" w:pos="426" w:leader="none"/>
        </w:tabs>
        <w:ind w:left="426" w:right="0" w:hanging="360"/>
        <w:rPr>
          <w:lang w:val="ru-MO"/>
        </w:rPr>
      </w:pPr>
      <w:r>
        <w:rPr>
          <w:lang w:val="ru-MO"/>
        </w:rPr>
        <w:t>Білімді меңгеру,  білім, ептілік  және дағдының қалыптасуы.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KZ 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661c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">
    <w:name w:val="Заголовок 2"/>
    <w:uiPriority w:val="99"/>
    <w:qFormat/>
    <w:link w:val="20"/>
    <w:rsid w:val="000661cd"/>
    <w:basedOn w:val="Normal"/>
    <w:pPr>
      <w:keepNext/>
      <w:ind w:left="0" w:right="0" w:firstLine="510"/>
      <w:outlineLvl w:val="1"/>
    </w:pPr>
    <w:rPr>
      <w:rFonts w:ascii="KZ Times New Roman" w:hAnsi="KZ Times New Roman" w:cs="KZ 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uiPriority w:val="99"/>
    <w:link w:val="2"/>
    <w:rsid w:val="000661cd"/>
    <w:basedOn w:val="DefaultParagraphFont"/>
    <w:rPr>
      <w:rFonts w:ascii="KZ Times New Roman" w:hAnsi="KZ Times New Roman" w:eastAsia="Times New Roman" w:cs="KZ Times New Roman"/>
      <w:b/>
      <w:bCs/>
      <w:sz w:val="28"/>
      <w:szCs w:val="28"/>
      <w:lang w:eastAsia="ru-RU"/>
    </w:rPr>
  </w:style>
  <w:style w:type="character" w:styleId="22" w:customStyle="1">
    <w:name w:val="Основной текст 2 Знак"/>
    <w:uiPriority w:val="99"/>
    <w:link w:val="21"/>
    <w:rsid w:val="000661cd"/>
    <w:basedOn w:val="DefaultParagraphFont"/>
    <w:rPr>
      <w:rFonts w:ascii="Times New Roman" w:hAnsi="Times New Roman" w:eastAsia="Times New Roman" w:cs="Times New Roman"/>
      <w:sz w:val="28"/>
      <w:szCs w:val="28"/>
      <w:lang w:val="kk-KZ" w:eastAsia="ru-RU"/>
    </w:rPr>
  </w:style>
  <w:style w:type="character" w:styleId="23" w:customStyle="1">
    <w:name w:val="Основной текст с отступом 2 Знак"/>
    <w:uiPriority w:val="99"/>
    <w:link w:val="23"/>
    <w:rsid w:val="000661cd"/>
    <w:basedOn w:val="DefaultParagraphFont"/>
    <w:rPr>
      <w:rFonts w:ascii="KZ Times New Roman" w:hAnsi="KZ Times New Roman" w:eastAsia="Times New Roman" w:cs="KZ Times New Roman"/>
      <w:sz w:val="28"/>
      <w:szCs w:val="28"/>
      <w:lang w:val="ru-MO" w:eastAsia="ru-RU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  <w:style w:type="paragraph" w:styleId="BodyText2">
    <w:name w:val="Body Text 2"/>
    <w:uiPriority w:val="99"/>
    <w:link w:val="22"/>
    <w:rsid w:val="000661cd"/>
    <w:basedOn w:val="Normal"/>
    <w:pPr>
      <w:jc w:val="both"/>
    </w:pPr>
    <w:rPr>
      <w:sz w:val="28"/>
      <w:szCs w:val="28"/>
      <w:lang w:val="kk-KZ"/>
    </w:rPr>
  </w:style>
  <w:style w:type="paragraph" w:styleId="BodyTextIndent2">
    <w:name w:val="Body Text Indent 2"/>
    <w:uiPriority w:val="99"/>
    <w:link w:val="24"/>
    <w:rsid w:val="000661cd"/>
    <w:basedOn w:val="Normal"/>
    <w:pPr>
      <w:ind w:left="0" w:right="0" w:firstLine="510"/>
      <w:jc w:val="both"/>
    </w:pPr>
    <w:rPr>
      <w:rFonts w:ascii="KZ Times New Roman" w:hAnsi="KZ Times New Roman" w:cs="KZ Times New Roman"/>
      <w:sz w:val="28"/>
      <w:szCs w:val="28"/>
      <w:lang w:val="ru-MO"/>
    </w:rPr>
  </w:style>
  <w:style w:type="paragraph" w:styleId="Style18" w:customStyle="1">
    <w:name w:val="Знак"/>
    <w:uiPriority w:val="99"/>
    <w:rsid w:val="000661cd"/>
    <w:basedOn w:val="Normal"/>
    <w:autoRedefine/>
    <w:pPr>
      <w:spacing w:lineRule="exact" w:line="240" w:before="0" w:after="160"/>
    </w:pPr>
    <w:rPr>
      <w:rFonts w:eastAsia="SimSun"/>
      <w:b/>
      <w:bCs/>
      <w:sz w:val="28"/>
      <w:szCs w:val="28"/>
      <w:lang w:val="en-US" w:eastAsia="en-U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2013-06-19T06:50:00Z</dcterms:created>
  <dc:creator>Beimar</dc:creator>
  <dc:language>ru-RU</dc:language>
  <cp:lastModifiedBy>Beimar</cp:lastModifiedBy>
  <dcterms:modified xsi:type="dcterms:W3CDTF">2013-06-19T06:50:00Z</dcterms:modified>
  <cp:revision>2</cp:revision>
</cp:coreProperties>
</file>